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before="442" w:line="219" w:lineRule="auto"/>
        <w:ind w:left="502"/>
        <w:rPr>
          <w:rFonts w:ascii="宋体" w:hAnsi="宋体" w:eastAsia="宋体" w:cs="宋体"/>
          <w:sz w:val="136"/>
          <w:szCs w:val="136"/>
        </w:rPr>
      </w:pPr>
      <w:r>
        <w:rPr>
          <w:rFonts w:ascii="宋体" w:hAnsi="宋体" w:eastAsia="宋体" w:cs="宋体"/>
          <w:b/>
          <w:bCs/>
          <w:color w:val="FD0010"/>
          <w:spacing w:val="-89"/>
          <w:w w:val="72"/>
          <w:sz w:val="136"/>
          <w:szCs w:val="136"/>
        </w:rPr>
        <w:t>交通运输部办公厅文件</w:t>
      </w: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20" w:lineRule="auto"/>
        <w:rPr>
          <w:rFonts w:ascii="Arial"/>
          <w:sz w:val="21"/>
        </w:rPr>
      </w:pPr>
    </w:p>
    <w:p>
      <w:pPr>
        <w:spacing w:before="108" w:line="224" w:lineRule="auto"/>
        <w:ind w:left="333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8"/>
          <w:sz w:val="33"/>
          <w:szCs w:val="33"/>
        </w:rPr>
        <w:t>交办运〔2023〕52号</w:t>
      </w:r>
    </w:p>
    <w:p>
      <w:pPr>
        <w:spacing w:before="156" w:line="60" w:lineRule="exact"/>
        <w:textAlignment w:val="center"/>
      </w:pPr>
      <w:r>
        <w:drawing>
          <wp:inline distT="0" distB="0" distL="0" distR="0">
            <wp:extent cx="6069965" cy="3810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70548" cy="38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3" w:lineRule="auto"/>
        <w:rPr>
          <w:rFonts w:ascii="Arial"/>
          <w:sz w:val="21"/>
        </w:rPr>
      </w:pPr>
    </w:p>
    <w:p>
      <w:pPr>
        <w:spacing w:line="283" w:lineRule="auto"/>
        <w:rPr>
          <w:rFonts w:ascii="Arial"/>
          <w:sz w:val="21"/>
        </w:rPr>
      </w:pPr>
    </w:p>
    <w:p>
      <w:pPr>
        <w:spacing w:line="284" w:lineRule="auto"/>
        <w:rPr>
          <w:rFonts w:ascii="Arial"/>
          <w:sz w:val="21"/>
        </w:rPr>
      </w:pPr>
    </w:p>
    <w:p>
      <w:pPr>
        <w:spacing w:before="147" w:line="219" w:lineRule="auto"/>
        <w:ind w:left="2066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-4"/>
          <w:sz w:val="45"/>
          <w:szCs w:val="45"/>
        </w:rPr>
        <w:t>交通运输部办公厅关于印发</w:t>
      </w:r>
    </w:p>
    <w:p>
      <w:pPr>
        <w:spacing w:before="176" w:line="219" w:lineRule="auto"/>
        <w:ind w:left="501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7"/>
          <w:sz w:val="45"/>
          <w:szCs w:val="45"/>
        </w:rPr>
        <w:t>《道路运输企业和城市客运企业安全生产</w:t>
      </w:r>
    </w:p>
    <w:p>
      <w:pPr>
        <w:spacing w:before="177" w:line="220" w:lineRule="auto"/>
        <w:ind w:left="1156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-25"/>
          <w:sz w:val="45"/>
          <w:szCs w:val="45"/>
        </w:rPr>
        <w:t>重大事故隐患判定标准(试行)》的通知</w:t>
      </w:r>
    </w:p>
    <w:p>
      <w:pPr>
        <w:spacing w:line="273" w:lineRule="auto"/>
        <w:rPr>
          <w:rFonts w:ascii="Arial"/>
          <w:sz w:val="21"/>
        </w:rPr>
      </w:pPr>
    </w:p>
    <w:p>
      <w:pPr>
        <w:spacing w:line="274" w:lineRule="auto"/>
        <w:rPr>
          <w:rFonts w:ascii="Arial"/>
          <w:sz w:val="21"/>
        </w:rPr>
      </w:pPr>
    </w:p>
    <w:p>
      <w:pPr>
        <w:spacing w:before="107" w:line="221" w:lineRule="auto"/>
        <w:ind w:left="4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3"/>
          <w:sz w:val="33"/>
          <w:szCs w:val="33"/>
        </w:rPr>
        <w:t>各省、自治区、直辖市、新疆生产建设兵团交通运输厅(局、委):</w:t>
      </w:r>
    </w:p>
    <w:p>
      <w:pPr>
        <w:spacing w:line="349" w:lineRule="auto"/>
        <w:rPr>
          <w:rFonts w:ascii="Arial"/>
          <w:sz w:val="21"/>
        </w:rPr>
      </w:pPr>
    </w:p>
    <w:p>
      <w:pPr>
        <w:spacing w:before="108" w:line="486" w:lineRule="auto"/>
        <w:ind w:left="40" w:firstLine="69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8"/>
          <w:sz w:val="33"/>
          <w:szCs w:val="33"/>
        </w:rPr>
        <w:t>为指导各地科学判定、及时消除道路运输企业和城市客运企</w:t>
      </w:r>
      <w:r>
        <w:rPr>
          <w:rFonts w:ascii="仿宋" w:hAnsi="仿宋" w:eastAsia="仿宋" w:cs="仿宋"/>
          <w:spacing w:val="14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3"/>
          <w:sz w:val="33"/>
          <w:szCs w:val="33"/>
        </w:rPr>
        <w:t>业安全生产重大事故隐患，根据《中华人民共和国安全生产法》《中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"/>
          <w:sz w:val="33"/>
          <w:szCs w:val="33"/>
        </w:rPr>
        <w:t>华人民共和国道路交通安全法》《中华人民共和国道路运输条例》</w:t>
      </w:r>
      <w:r>
        <w:rPr>
          <w:rFonts w:ascii="仿宋" w:hAnsi="仿宋" w:eastAsia="仿宋" w:cs="仿宋"/>
          <w:spacing w:val="15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3"/>
          <w:sz w:val="33"/>
          <w:szCs w:val="33"/>
        </w:rPr>
        <w:t>等法律法规，我部组织编制了《道路运输企业和城市客运企业安全</w:t>
      </w:r>
    </w:p>
    <w:p>
      <w:pPr>
        <w:spacing w:line="220" w:lineRule="auto"/>
        <w:ind w:left="4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3"/>
          <w:sz w:val="33"/>
          <w:szCs w:val="33"/>
        </w:rPr>
        <w:t>生产重大事故隐患判定标准(试行)》,现印发给你们</w:t>
      </w:r>
      <w:r>
        <w:rPr>
          <w:rFonts w:ascii="仿宋" w:hAnsi="仿宋" w:eastAsia="仿宋" w:cs="仿宋"/>
          <w:spacing w:val="2"/>
          <w:sz w:val="33"/>
          <w:szCs w:val="33"/>
        </w:rPr>
        <w:t>，请认真贯彻</w:t>
      </w:r>
    </w:p>
    <w:p>
      <w:pPr>
        <w:sectPr>
          <w:footerReference r:id="rId5" w:type="default"/>
          <w:pgSz w:w="11910" w:h="16840"/>
          <w:pgMar w:top="1431" w:right="1335" w:bottom="1491" w:left="890" w:header="0" w:footer="1292" w:gutter="0"/>
          <w:cols w:space="720" w:num="1"/>
        </w:sectPr>
      </w:pPr>
    </w:p>
    <w:p>
      <w:pPr>
        <w:spacing w:before="67" w:line="221" w:lineRule="auto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-9"/>
          <w:sz w:val="33"/>
          <w:szCs w:val="33"/>
        </w:rPr>
        <w:t>执行。</w:t>
      </w:r>
    </w:p>
    <w:p>
      <w:pPr>
        <w:spacing w:line="409" w:lineRule="auto"/>
        <w:rPr>
          <w:rFonts w:ascii="Arial"/>
          <w:sz w:val="21"/>
        </w:rPr>
      </w:pPr>
    </w:p>
    <w:p>
      <w:pPr>
        <w:spacing w:line="2830" w:lineRule="exact"/>
        <w:ind w:firstLine="5435"/>
        <w:textAlignment w:val="center"/>
      </w:pPr>
      <w:r>
        <w:drawing>
          <wp:inline distT="0" distB="0" distL="0" distR="0">
            <wp:extent cx="1784350" cy="1796415"/>
            <wp:effectExtent l="0" t="0" r="0" b="0"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84378" cy="179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12" w:line="220" w:lineRule="auto"/>
        <w:ind w:left="70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4"/>
          <w:sz w:val="33"/>
          <w:szCs w:val="33"/>
        </w:rPr>
        <w:t>(此件公开发布)</w:t>
      </w:r>
    </w:p>
    <w:p>
      <w:pPr>
        <w:sectPr>
          <w:footerReference r:id="rId6" w:type="default"/>
          <w:pgSz w:w="11910" w:h="16840"/>
          <w:pgMar w:top="1025" w:right="1786" w:bottom="1553" w:left="1354" w:header="0" w:footer="1265" w:gutter="0"/>
          <w:cols w:space="720" w:num="1"/>
        </w:sectPr>
      </w:pPr>
    </w:p>
    <w:p>
      <w:pPr>
        <w:spacing w:before="321" w:line="219" w:lineRule="auto"/>
        <w:ind w:left="936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-4"/>
          <w:sz w:val="45"/>
          <w:szCs w:val="45"/>
        </w:rPr>
        <w:t>道路运输企业和城市客运企业安全生产</w:t>
      </w:r>
    </w:p>
    <w:p>
      <w:pPr>
        <w:spacing w:before="157" w:line="220" w:lineRule="auto"/>
        <w:ind w:left="1846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-3"/>
          <w:sz w:val="45"/>
          <w:szCs w:val="45"/>
        </w:rPr>
        <w:t>重大事故隐患判定标准(试行)</w:t>
      </w: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before="104" w:line="370" w:lineRule="auto"/>
        <w:ind w:right="90" w:firstLine="67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13"/>
          <w:sz w:val="32"/>
          <w:szCs w:val="32"/>
        </w:rPr>
        <w:t>第</w:t>
      </w:r>
      <w:r>
        <w:rPr>
          <w:rFonts w:ascii="仿宋" w:hAnsi="仿宋" w:eastAsia="仿宋" w:cs="仿宋"/>
          <w:spacing w:val="-87"/>
          <w:sz w:val="32"/>
          <w:szCs w:val="32"/>
        </w:rPr>
        <w:t xml:space="preserve"> </w:t>
      </w:r>
      <w:r>
        <w:rPr>
          <w:rFonts w:ascii="仿宋" w:hAnsi="仿宋" w:eastAsia="仿宋" w:cs="仿宋"/>
          <w:b/>
          <w:bCs/>
          <w:spacing w:val="13"/>
          <w:sz w:val="32"/>
          <w:szCs w:val="32"/>
        </w:rPr>
        <w:t>一</w:t>
      </w:r>
      <w:r>
        <w:rPr>
          <w:rFonts w:ascii="仿宋" w:hAnsi="仿宋" w:eastAsia="仿宋" w:cs="仿宋"/>
          <w:spacing w:val="-95"/>
          <w:sz w:val="32"/>
          <w:szCs w:val="32"/>
        </w:rPr>
        <w:t xml:space="preserve"> </w:t>
      </w:r>
      <w:r>
        <w:rPr>
          <w:rFonts w:ascii="仿宋" w:hAnsi="仿宋" w:eastAsia="仿宋" w:cs="仿宋"/>
          <w:b/>
          <w:bCs/>
          <w:spacing w:val="13"/>
          <w:sz w:val="32"/>
          <w:szCs w:val="32"/>
        </w:rPr>
        <w:t>条</w:t>
      </w:r>
      <w:r>
        <w:rPr>
          <w:rFonts w:ascii="仿宋" w:hAnsi="仿宋" w:eastAsia="仿宋" w:cs="仿宋"/>
          <w:spacing w:val="20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13"/>
          <w:sz w:val="32"/>
          <w:szCs w:val="32"/>
        </w:rPr>
        <w:t>为指导各地科学判定、及时消除道路运输企业和城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6"/>
          <w:sz w:val="32"/>
          <w:szCs w:val="32"/>
        </w:rPr>
        <w:t>市客运企业安全生产重大事故隐患，根据《中华人民共和国安全生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产法》《中华人民共和国道路交通安全法》《中华人民共和国道路运</w:t>
      </w:r>
    </w:p>
    <w:p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输条例》等法律法规，制定本标准。</w:t>
      </w:r>
    </w:p>
    <w:p>
      <w:pPr>
        <w:spacing w:before="254" w:line="369" w:lineRule="auto"/>
        <w:ind w:right="108" w:firstLine="67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5"/>
          <w:sz w:val="32"/>
          <w:szCs w:val="32"/>
        </w:rPr>
        <w:t>第二条</w:t>
      </w:r>
      <w:r>
        <w:rPr>
          <w:rFonts w:ascii="仿宋" w:hAnsi="仿宋" w:eastAsia="仿宋" w:cs="仿宋"/>
          <w:spacing w:val="20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5"/>
          <w:sz w:val="32"/>
          <w:szCs w:val="32"/>
        </w:rPr>
        <w:t>本标</w:t>
      </w:r>
      <w:r>
        <w:rPr>
          <w:rFonts w:ascii="仿宋" w:hAnsi="仿宋" w:eastAsia="仿宋" w:cs="仿宋"/>
          <w:spacing w:val="5"/>
          <w:sz w:val="32"/>
          <w:szCs w:val="32"/>
          <w:u w:val="single" w:color="auto"/>
        </w:rPr>
        <w:t>准适用于道路旅客运输</w:t>
      </w:r>
      <w:r>
        <w:rPr>
          <w:rFonts w:ascii="仿宋" w:hAnsi="仿宋" w:eastAsia="仿宋" w:cs="仿宋"/>
          <w:color w:val="CA1F1F"/>
          <w:spacing w:val="5"/>
          <w:sz w:val="32"/>
          <w:szCs w:val="32"/>
        </w:rPr>
        <w:t>、</w:t>
      </w:r>
      <w:r>
        <w:rPr>
          <w:rFonts w:ascii="仿宋" w:hAnsi="仿宋" w:eastAsia="仿宋" w:cs="仿宋"/>
          <w:spacing w:val="5"/>
          <w:sz w:val="32"/>
          <w:szCs w:val="32"/>
          <w:u w:val="single" w:color="auto"/>
        </w:rPr>
        <w:t>道路普通货</w:t>
      </w:r>
      <w:r>
        <w:rPr>
          <w:rFonts w:ascii="仿宋" w:hAnsi="仿宋" w:eastAsia="仿宋" w:cs="仿宋"/>
          <w:spacing w:val="4"/>
          <w:sz w:val="32"/>
          <w:szCs w:val="32"/>
          <w:u w:val="single" w:color="auto"/>
        </w:rPr>
        <w:t>物运输</w:t>
      </w:r>
      <w:r>
        <w:rPr>
          <w:rFonts w:ascii="仿宋" w:hAnsi="仿宋" w:eastAsia="仿宋" w:cs="仿宋"/>
          <w:color w:val="CA1F1F"/>
          <w:spacing w:val="4"/>
          <w:sz w:val="32"/>
          <w:szCs w:val="32"/>
        </w:rPr>
        <w:t>、</w:t>
      </w:r>
      <w:r>
        <w:rPr>
          <w:rFonts w:ascii="仿宋" w:hAnsi="仿宋" w:eastAsia="仿宋" w:cs="仿宋"/>
          <w:spacing w:val="4"/>
          <w:sz w:val="32"/>
          <w:szCs w:val="32"/>
          <w:u w:val="single" w:color="auto"/>
        </w:rPr>
        <w:t>危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6"/>
          <w:sz w:val="32"/>
          <w:szCs w:val="32"/>
          <w:u w:val="single" w:color="auto"/>
        </w:rPr>
        <w:t>险货物道路运输、城市轨道交通运营、城市公共汽电车客运、出租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5"/>
          <w:sz w:val="32"/>
          <w:szCs w:val="32"/>
          <w:u w:val="single" w:color="auto"/>
        </w:rPr>
        <w:t>汽车客运</w:t>
      </w:r>
      <w:r>
        <w:rPr>
          <w:rFonts w:ascii="仿宋" w:hAnsi="仿宋" w:eastAsia="仿宋" w:cs="仿宋"/>
          <w:color w:val="CA1F1F"/>
          <w:spacing w:val="5"/>
          <w:sz w:val="32"/>
          <w:szCs w:val="32"/>
        </w:rPr>
        <w:t>、</w:t>
      </w:r>
      <w:r>
        <w:rPr>
          <w:rFonts w:ascii="仿宋" w:hAnsi="仿宋" w:eastAsia="仿宋" w:cs="仿宋"/>
          <w:spacing w:val="5"/>
          <w:sz w:val="32"/>
          <w:szCs w:val="32"/>
          <w:u w:val="single" w:color="auto"/>
        </w:rPr>
        <w:t>机动车驾驶员培训</w:t>
      </w:r>
      <w:r>
        <w:rPr>
          <w:rFonts w:ascii="仿宋" w:hAnsi="仿宋" w:eastAsia="仿宋" w:cs="仿宋"/>
          <w:color w:val="CA1F1F"/>
          <w:spacing w:val="5"/>
          <w:sz w:val="32"/>
          <w:szCs w:val="32"/>
        </w:rPr>
        <w:t>、</w:t>
      </w:r>
      <w:r>
        <w:rPr>
          <w:rFonts w:ascii="仿宋" w:hAnsi="仿宋" w:eastAsia="仿宋" w:cs="仿宋"/>
          <w:spacing w:val="5"/>
          <w:sz w:val="32"/>
          <w:szCs w:val="32"/>
          <w:u w:val="single" w:color="auto"/>
        </w:rPr>
        <w:t>机动车维修</w:t>
      </w:r>
      <w:r>
        <w:rPr>
          <w:rFonts w:ascii="仿宋" w:hAnsi="仿宋" w:eastAsia="仿宋" w:cs="仿宋"/>
          <w:color w:val="CA1F1F"/>
          <w:spacing w:val="5"/>
          <w:sz w:val="32"/>
          <w:szCs w:val="32"/>
        </w:rPr>
        <w:t>、</w:t>
      </w:r>
      <w:r>
        <w:rPr>
          <w:rFonts w:ascii="仿宋" w:hAnsi="仿宋" w:eastAsia="仿宋" w:cs="仿宋"/>
          <w:spacing w:val="5"/>
          <w:sz w:val="32"/>
          <w:szCs w:val="32"/>
          <w:u w:val="single" w:color="auto"/>
        </w:rPr>
        <w:t>汽车客运站等企业的</w:t>
      </w:r>
    </w:p>
    <w:p>
      <w:pPr>
        <w:spacing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7"/>
          <w:sz w:val="32"/>
          <w:szCs w:val="32"/>
          <w:u w:val="single" w:color="auto"/>
        </w:rPr>
        <w:t>安全生产重大事故隐患判定工作</w:t>
      </w:r>
      <w:r>
        <w:rPr>
          <w:rFonts w:ascii="仿宋" w:hAnsi="仿宋" w:eastAsia="仿宋" w:cs="仿宋"/>
          <w:spacing w:val="17"/>
          <w:sz w:val="32"/>
          <w:szCs w:val="32"/>
        </w:rPr>
        <w:t>。</w:t>
      </w:r>
    </w:p>
    <w:p>
      <w:pPr>
        <w:spacing w:before="256" w:line="373" w:lineRule="auto"/>
        <w:ind w:left="67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30"/>
          <w:sz w:val="32"/>
          <w:szCs w:val="32"/>
        </w:rPr>
        <w:t>第三条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30"/>
          <w:sz w:val="32"/>
          <w:szCs w:val="32"/>
        </w:rPr>
        <w:t>道路运输企业和城市客运企</w:t>
      </w:r>
      <w:r>
        <w:rPr>
          <w:rFonts w:ascii="仿宋" w:hAnsi="仿宋" w:eastAsia="仿宋" w:cs="仿宋"/>
          <w:spacing w:val="30"/>
          <w:sz w:val="32"/>
          <w:szCs w:val="32"/>
          <w:u w:val="single" w:color="auto"/>
        </w:rPr>
        <w:t>业存在下列情形之</w:t>
      </w:r>
      <w:r>
        <w:rPr>
          <w:rFonts w:ascii="仿宋" w:hAnsi="仿宋" w:eastAsia="仿宋" w:cs="仿宋"/>
          <w:spacing w:val="-96"/>
          <w:sz w:val="32"/>
          <w:szCs w:val="32"/>
          <w:u w:val="single" w:color="auto"/>
        </w:rPr>
        <w:t xml:space="preserve"> </w:t>
      </w:r>
      <w:r>
        <w:rPr>
          <w:rFonts w:ascii="仿宋" w:hAnsi="仿宋" w:eastAsia="仿宋" w:cs="仿宋"/>
          <w:spacing w:val="30"/>
          <w:sz w:val="32"/>
          <w:szCs w:val="32"/>
          <w:u w:val="single" w:color="auto"/>
        </w:rPr>
        <w:t>一</w:t>
      </w:r>
    </w:p>
    <w:p>
      <w:pPr>
        <w:spacing w:line="223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  <w:u w:val="single" w:color="auto"/>
        </w:rPr>
        <w:t>的，应当判定为重大事故隐患</w:t>
      </w:r>
      <w:r>
        <w:rPr>
          <w:rFonts w:ascii="仿宋" w:hAnsi="仿宋" w:eastAsia="仿宋" w:cs="仿宋"/>
          <w:spacing w:val="5"/>
          <w:sz w:val="32"/>
          <w:szCs w:val="32"/>
        </w:rPr>
        <w:t>：</w:t>
      </w:r>
    </w:p>
    <w:p>
      <w:pPr>
        <w:spacing w:before="250" w:line="642" w:lineRule="exact"/>
        <w:ind w:left="66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7"/>
          <w:position w:val="24"/>
          <w:sz w:val="32"/>
          <w:szCs w:val="32"/>
        </w:rPr>
        <w:t>(一)未取得经营许可或未按规定进行备案从事经营活动，或</w:t>
      </w:r>
    </w:p>
    <w:p>
      <w:pPr>
        <w:spacing w:before="1"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6"/>
          <w:sz w:val="32"/>
          <w:szCs w:val="32"/>
        </w:rPr>
        <w:t>超出许可(备案)事项和有效期经营的；</w:t>
      </w:r>
    </w:p>
    <w:p>
      <w:pPr>
        <w:spacing w:before="248" w:line="371" w:lineRule="auto"/>
        <w:ind w:right="77" w:firstLine="66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(二)使用报废、擅自改装、拼装、检验检测不合格(含未在有效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4"/>
          <w:sz w:val="32"/>
          <w:szCs w:val="32"/>
        </w:rPr>
        <w:t>期内)以及其他不符合国家规定的车辆装备、设施设备等</w:t>
      </w:r>
      <w:r>
        <w:rPr>
          <w:rFonts w:ascii="仿宋" w:hAnsi="仿宋" w:eastAsia="仿宋" w:cs="仿宋"/>
          <w:spacing w:val="13"/>
          <w:sz w:val="32"/>
          <w:szCs w:val="32"/>
        </w:rPr>
        <w:t>从事经营</w:t>
      </w:r>
    </w:p>
    <w:p>
      <w:pPr>
        <w:spacing w:before="1"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"/>
          <w:sz w:val="32"/>
          <w:szCs w:val="32"/>
        </w:rPr>
        <w:t>活动的；</w:t>
      </w:r>
    </w:p>
    <w:p>
      <w:pPr>
        <w:spacing w:before="250" w:line="369" w:lineRule="auto"/>
        <w:ind w:firstLine="66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(三)所属经营性驾驶员和车辆存在长期“三超一疲劳”(超速、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超员、超载、疲劳驾驶)且运输过程中未及时提</w:t>
      </w:r>
      <w:r>
        <w:rPr>
          <w:rFonts w:ascii="仿宋" w:hAnsi="仿宋" w:eastAsia="仿宋" w:cs="仿宋"/>
          <w:spacing w:val="2"/>
          <w:sz w:val="32"/>
          <w:szCs w:val="32"/>
        </w:rPr>
        <w:t>醒纠正、运输行为结</w:t>
      </w:r>
    </w:p>
    <w:p>
      <w:pPr>
        <w:spacing w:before="1" w:line="219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9"/>
          <w:sz w:val="32"/>
          <w:szCs w:val="32"/>
        </w:rPr>
        <w:t>束后一个月内未严肃处理，或所属经营性驾驶员存在一次计10</w:t>
      </w:r>
      <w:r>
        <w:rPr>
          <w:rFonts w:ascii="仿宋" w:hAnsi="仿宋" w:eastAsia="仿宋" w:cs="仿宋"/>
          <w:spacing w:val="18"/>
          <w:sz w:val="32"/>
          <w:szCs w:val="32"/>
        </w:rPr>
        <w:t>分</w:t>
      </w:r>
    </w:p>
    <w:p>
      <w:pPr>
        <w:sectPr>
          <w:footerReference r:id="rId7" w:type="default"/>
          <w:pgSz w:w="11910" w:h="16840"/>
          <w:pgMar w:top="1431" w:right="1410" w:bottom="1541" w:left="900" w:header="0" w:footer="1313" w:gutter="0"/>
          <w:cols w:space="720" w:num="1"/>
        </w:sectPr>
      </w:pPr>
    </w:p>
    <w:p>
      <w:pPr>
        <w:spacing w:before="67" w:line="220" w:lineRule="auto"/>
        <w:ind w:left="114"/>
        <w:rPr>
          <w:rFonts w:ascii="仿宋" w:hAnsi="仿宋" w:eastAsia="仿宋" w:cs="仿宋"/>
          <w:sz w:val="33"/>
          <w:szCs w:val="33"/>
        </w:rPr>
      </w:pPr>
      <w: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742950</wp:posOffset>
            </wp:positionH>
            <wp:positionV relativeFrom="page">
              <wp:posOffset>9556750</wp:posOffset>
            </wp:positionV>
            <wp:extent cx="4267200" cy="635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67187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b/>
          <w:bCs/>
          <w:spacing w:val="-4"/>
          <w:sz w:val="33"/>
          <w:szCs w:val="33"/>
        </w:rPr>
        <w:t>及以上诚信考核计分情形且未经严肃处理仍继续安排上岗作业的；</w:t>
      </w:r>
    </w:p>
    <w:p>
      <w:pPr>
        <w:spacing w:before="251" w:line="358" w:lineRule="auto"/>
        <w:ind w:left="109" w:firstLine="67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4"/>
          <w:sz w:val="33"/>
          <w:szCs w:val="33"/>
        </w:rPr>
        <w:t>(四)经营地或运营线路途经地已发布台风橙色及以</w:t>
      </w:r>
      <w:r>
        <w:rPr>
          <w:rFonts w:ascii="仿宋" w:hAnsi="仿宋" w:eastAsia="仿宋" w:cs="仿宋"/>
          <w:spacing w:val="13"/>
          <w:sz w:val="33"/>
          <w:szCs w:val="33"/>
        </w:rPr>
        <w:t>上预警，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24"/>
          <w:sz w:val="33"/>
          <w:szCs w:val="33"/>
        </w:rPr>
        <w:t>暴雨、暴雪、冰雹、大雾、沙尘暴、大风、道路结冰红色预警，或地质</w:t>
      </w:r>
      <w:r>
        <w:rPr>
          <w:rFonts w:ascii="仿宋" w:hAnsi="仿宋" w:eastAsia="仿宋" w:cs="仿宋"/>
          <w:spacing w:val="4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8"/>
          <w:sz w:val="33"/>
          <w:szCs w:val="33"/>
        </w:rPr>
        <w:t>灾害气象风险红色预警等不具备安全通行条件时，未执行政府部</w:t>
      </w:r>
    </w:p>
    <w:p>
      <w:pPr>
        <w:spacing w:line="220" w:lineRule="auto"/>
        <w:ind w:left="20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6"/>
          <w:sz w:val="33"/>
          <w:szCs w:val="33"/>
        </w:rPr>
        <w:t>门停运指令或企业应急预案要求仍擅自安排运输作业的；</w:t>
      </w:r>
    </w:p>
    <w:p>
      <w:pPr>
        <w:spacing w:before="249" w:line="646" w:lineRule="exact"/>
        <w:ind w:left="77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2"/>
          <w:position w:val="23"/>
          <w:sz w:val="33"/>
          <w:szCs w:val="33"/>
        </w:rPr>
        <w:t>(五)按法律法规和规章规定，其他应当判定为重大事</w:t>
      </w:r>
      <w:r>
        <w:rPr>
          <w:rFonts w:ascii="仿宋" w:hAnsi="仿宋" w:eastAsia="仿宋" w:cs="仿宋"/>
          <w:spacing w:val="21"/>
          <w:position w:val="23"/>
          <w:sz w:val="33"/>
          <w:szCs w:val="33"/>
        </w:rPr>
        <w:t>故隐</w:t>
      </w:r>
    </w:p>
    <w:p>
      <w:pPr>
        <w:spacing w:line="225" w:lineRule="auto"/>
        <w:ind w:left="10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2"/>
          <w:sz w:val="33"/>
          <w:szCs w:val="33"/>
        </w:rPr>
        <w:t>患的。</w:t>
      </w:r>
    </w:p>
    <w:p>
      <w:pPr>
        <w:spacing w:before="256" w:line="367" w:lineRule="auto"/>
        <w:ind w:left="784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7"/>
          <w:sz w:val="33"/>
          <w:szCs w:val="33"/>
        </w:rPr>
        <w:t>第四条</w:t>
      </w:r>
      <w:r>
        <w:rPr>
          <w:rFonts w:ascii="仿宋" w:hAnsi="仿宋" w:eastAsia="仿宋" w:cs="仿宋"/>
          <w:spacing w:val="5"/>
          <w:sz w:val="33"/>
          <w:szCs w:val="33"/>
        </w:rPr>
        <w:t xml:space="preserve">  </w:t>
      </w:r>
      <w:r>
        <w:rPr>
          <w:rFonts w:ascii="仿宋" w:hAnsi="仿宋" w:eastAsia="仿宋" w:cs="仿宋"/>
          <w:spacing w:val="7"/>
          <w:sz w:val="33"/>
          <w:szCs w:val="33"/>
        </w:rPr>
        <w:t>道</w:t>
      </w:r>
      <w:r>
        <w:rPr>
          <w:rFonts w:ascii="仿宋" w:hAnsi="仿宋" w:eastAsia="仿宋" w:cs="仿宋"/>
          <w:spacing w:val="-14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46"/>
          <w:sz w:val="33"/>
          <w:szCs w:val="33"/>
          <w:u w:val="single" w:color="auto"/>
        </w:rPr>
        <w:t xml:space="preserve"> </w:t>
      </w:r>
      <w:r>
        <w:rPr>
          <w:rFonts w:ascii="仿宋" w:hAnsi="仿宋" w:eastAsia="仿宋" w:cs="仿宋"/>
          <w:spacing w:val="7"/>
          <w:sz w:val="33"/>
          <w:szCs w:val="33"/>
          <w:u w:val="single" w:color="auto"/>
        </w:rPr>
        <w:t>路旅客运输企业存在本标准第三条规定</w:t>
      </w:r>
      <w:r>
        <w:rPr>
          <w:rFonts w:ascii="仿宋" w:hAnsi="仿宋" w:eastAsia="仿宋" w:cs="仿宋"/>
          <w:spacing w:val="6"/>
          <w:sz w:val="33"/>
          <w:szCs w:val="33"/>
          <w:u w:val="single" w:color="auto"/>
        </w:rPr>
        <w:t>的情形或</w:t>
      </w:r>
    </w:p>
    <w:p>
      <w:pPr>
        <w:spacing w:before="1" w:line="222" w:lineRule="auto"/>
        <w:ind w:left="10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"/>
          <w:sz w:val="33"/>
          <w:szCs w:val="33"/>
          <w:u w:val="single" w:color="auto"/>
        </w:rPr>
        <w:t>下列情形之一的，应当判定为重大事故隐患</w:t>
      </w:r>
      <w:r>
        <w:rPr>
          <w:rFonts w:ascii="仿宋" w:hAnsi="仿宋" w:eastAsia="仿宋" w:cs="仿宋"/>
          <w:spacing w:val="-1"/>
          <w:sz w:val="33"/>
          <w:szCs w:val="33"/>
        </w:rPr>
        <w:t>：</w:t>
      </w:r>
    </w:p>
    <w:p>
      <w:pPr>
        <w:spacing w:before="243" w:line="358" w:lineRule="auto"/>
        <w:ind w:left="109" w:right="94" w:firstLine="67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7"/>
          <w:sz w:val="33"/>
          <w:szCs w:val="33"/>
        </w:rPr>
        <w:t>(一)800公里以上道路客运班线未按规定开展安全</w:t>
      </w:r>
      <w:r>
        <w:rPr>
          <w:rFonts w:ascii="仿宋" w:hAnsi="仿宋" w:eastAsia="仿宋" w:cs="仿宋"/>
          <w:spacing w:val="26"/>
          <w:sz w:val="33"/>
          <w:szCs w:val="33"/>
        </w:rPr>
        <w:t>风险评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2"/>
          <w:sz w:val="33"/>
          <w:szCs w:val="33"/>
        </w:rPr>
        <w:t>估，或所属客运车辆未按规定执行凌晨2时至5时停车休息或接</w:t>
      </w:r>
    </w:p>
    <w:p>
      <w:pPr>
        <w:spacing w:line="222" w:lineRule="auto"/>
        <w:ind w:left="10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"/>
          <w:sz w:val="33"/>
          <w:szCs w:val="33"/>
        </w:rPr>
        <w:t>驳运输的；</w:t>
      </w:r>
    </w:p>
    <w:p>
      <w:pPr>
        <w:spacing w:before="238" w:line="219" w:lineRule="auto"/>
        <w:ind w:left="77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7"/>
          <w:sz w:val="33"/>
          <w:szCs w:val="33"/>
        </w:rPr>
        <w:t>(二)所属客运车辆违法承运或夹带危险物品的。</w:t>
      </w:r>
    </w:p>
    <w:p>
      <w:pPr>
        <w:spacing w:before="257" w:line="367" w:lineRule="auto"/>
        <w:ind w:left="784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11"/>
          <w:sz w:val="33"/>
          <w:szCs w:val="33"/>
        </w:rPr>
        <w:t>第五条</w:t>
      </w:r>
      <w:r>
        <w:rPr>
          <w:rFonts w:ascii="仿宋" w:hAnsi="仿宋" w:eastAsia="仿宋" w:cs="仿宋"/>
          <w:spacing w:val="135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35"/>
          <w:sz w:val="33"/>
          <w:szCs w:val="33"/>
          <w:u w:val="single" w:color="FF0000"/>
          <w:shd w:val="clear" w:fill="FFFF00"/>
        </w:rPr>
        <w:t xml:space="preserve"> </w:t>
      </w:r>
      <w:r>
        <w:rPr>
          <w:rFonts w:ascii="仿宋" w:hAnsi="仿宋" w:eastAsia="仿宋" w:cs="仿宋"/>
          <w:spacing w:val="11"/>
          <w:sz w:val="33"/>
          <w:szCs w:val="33"/>
          <w:u w:val="single" w:color="FF0000"/>
          <w:shd w:val="clear" w:fill="FFFF00"/>
        </w:rPr>
        <w:t>道路普通货运企业存</w:t>
      </w:r>
      <w:r>
        <w:rPr>
          <w:rFonts w:ascii="仿宋" w:hAnsi="仿宋" w:eastAsia="仿宋" w:cs="仿宋"/>
          <w:spacing w:val="11"/>
          <w:sz w:val="33"/>
          <w:szCs w:val="33"/>
          <w:u w:val="single" w:color="FF0000"/>
        </w:rPr>
        <w:t>在本标准第三条规</w:t>
      </w:r>
      <w:r>
        <w:rPr>
          <w:rFonts w:ascii="仿宋" w:hAnsi="仿宋" w:eastAsia="仿宋" w:cs="仿宋"/>
          <w:spacing w:val="10"/>
          <w:sz w:val="33"/>
          <w:szCs w:val="33"/>
          <w:u w:val="single" w:color="FF0000"/>
        </w:rPr>
        <w:t>定情形或下</w:t>
      </w:r>
    </w:p>
    <w:p>
      <w:pPr>
        <w:spacing w:before="1" w:line="222" w:lineRule="auto"/>
        <w:ind w:left="10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z w:val="33"/>
          <w:szCs w:val="33"/>
          <w:u w:val="single" w:color="auto"/>
        </w:rPr>
        <w:t>列情形之一的，应当判定为重大事故隐患</w:t>
      </w:r>
      <w:r>
        <w:rPr>
          <w:rFonts w:ascii="仿宋" w:hAnsi="仿宋" w:eastAsia="仿宋" w:cs="仿宋"/>
          <w:sz w:val="33"/>
          <w:szCs w:val="33"/>
        </w:rPr>
        <w:t>：</w:t>
      </w:r>
    </w:p>
    <w:p>
      <w:pPr>
        <w:spacing w:before="227" w:line="354" w:lineRule="auto"/>
        <w:ind w:left="109" w:firstLine="67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4"/>
          <w:sz w:val="33"/>
          <w:szCs w:val="33"/>
        </w:rPr>
        <w:t>(一)所属货运车辆故意违法夹带危险货物或违法运</w:t>
      </w:r>
      <w:r>
        <w:rPr>
          <w:rFonts w:ascii="仿宋" w:hAnsi="仿宋" w:eastAsia="仿宋" w:cs="仿宋"/>
          <w:spacing w:val="13"/>
          <w:sz w:val="33"/>
          <w:szCs w:val="33"/>
        </w:rPr>
        <w:t>输禁运、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2"/>
          <w:sz w:val="33"/>
          <w:szCs w:val="33"/>
        </w:rPr>
        <w:t>限运物品，且运输过程中未及时提醒纠正、运输行为结束后一个月</w:t>
      </w:r>
    </w:p>
    <w:p>
      <w:pPr>
        <w:spacing w:before="1" w:line="222" w:lineRule="auto"/>
        <w:ind w:left="10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"/>
          <w:sz w:val="33"/>
          <w:szCs w:val="33"/>
        </w:rPr>
        <w:t>内未严肃处理的；</w:t>
      </w:r>
    </w:p>
    <w:p>
      <w:pPr>
        <w:spacing w:before="227" w:line="643" w:lineRule="exact"/>
        <w:ind w:left="77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9"/>
          <w:position w:val="23"/>
          <w:sz w:val="33"/>
          <w:szCs w:val="33"/>
        </w:rPr>
        <w:t>(二)所属货运车辆运输过程中违法装载导致车货总质量超过</w:t>
      </w:r>
    </w:p>
    <w:p>
      <w:pPr>
        <w:spacing w:before="1" w:line="226" w:lineRule="auto"/>
        <w:ind w:left="10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5"/>
          <w:sz w:val="33"/>
          <w:szCs w:val="33"/>
        </w:rPr>
        <w:t>100吨的。</w:t>
      </w:r>
    </w:p>
    <w:p>
      <w:pPr>
        <w:spacing w:before="272" w:line="372" w:lineRule="auto"/>
        <w:ind w:left="784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10"/>
          <w:sz w:val="33"/>
          <w:szCs w:val="33"/>
        </w:rPr>
        <w:t>第六条</w:t>
      </w:r>
      <w:r>
        <w:rPr>
          <w:rFonts w:ascii="仿宋" w:hAnsi="仿宋" w:eastAsia="仿宋" w:cs="仿宋"/>
          <w:spacing w:val="157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0"/>
          <w:sz w:val="33"/>
          <w:szCs w:val="33"/>
          <w:u w:val="single" w:color="FF0000"/>
          <w:shd w:val="clear" w:fill="FFFF00"/>
        </w:rPr>
        <w:t>危险货物道路运输企业存</w:t>
      </w:r>
      <w:r>
        <w:rPr>
          <w:rFonts w:ascii="仿宋" w:hAnsi="仿宋" w:eastAsia="仿宋" w:cs="仿宋"/>
          <w:spacing w:val="10"/>
          <w:sz w:val="33"/>
          <w:szCs w:val="33"/>
          <w:u w:val="single" w:color="FF0000"/>
        </w:rPr>
        <w:t>在本标准第三条规定情形</w:t>
      </w:r>
    </w:p>
    <w:p>
      <w:pPr>
        <w:spacing w:before="1" w:line="222" w:lineRule="auto"/>
        <w:ind w:left="10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2"/>
          <w:sz w:val="33"/>
          <w:szCs w:val="33"/>
        </w:rPr>
        <w:t>或下列情形之一的，应当判定为重大事故隐患：</w:t>
      </w:r>
    </w:p>
    <w:p>
      <w:pPr>
        <w:sectPr>
          <w:footerReference r:id="rId8" w:type="default"/>
          <w:pgSz w:w="11910" w:h="16840"/>
          <w:pgMar w:top="1024" w:right="1005" w:bottom="1573" w:left="1170" w:header="0" w:footer="1285" w:gutter="0"/>
          <w:cols w:space="720" w:num="1"/>
        </w:sectPr>
      </w:pPr>
    </w:p>
    <w:p>
      <w:pPr>
        <w:spacing w:before="67" w:line="221" w:lineRule="auto"/>
        <w:ind w:left="83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"/>
          <w:sz w:val="33"/>
          <w:szCs w:val="33"/>
        </w:rPr>
        <w:t>(一)运输危险货物过程中包装容器损坏、泄漏的；</w:t>
      </w:r>
    </w:p>
    <w:p>
      <w:pPr>
        <w:spacing w:before="242" w:line="643" w:lineRule="exact"/>
        <w:ind w:left="83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8"/>
          <w:position w:val="23"/>
          <w:sz w:val="33"/>
          <w:szCs w:val="33"/>
        </w:rPr>
        <w:t>(二)所属常压液体罐车罐体运输介质超出适装介质范围，或</w:t>
      </w:r>
    </w:p>
    <w:p>
      <w:pPr>
        <w:spacing w:before="1" w:line="220" w:lineRule="auto"/>
        <w:ind w:left="16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5"/>
          <w:sz w:val="33"/>
          <w:szCs w:val="33"/>
        </w:rPr>
        <w:t>超过核定载质量载运危险货物的；</w:t>
      </w:r>
    </w:p>
    <w:p>
      <w:pPr>
        <w:spacing w:before="242" w:line="645" w:lineRule="exact"/>
        <w:ind w:left="83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0"/>
          <w:position w:val="23"/>
          <w:sz w:val="33"/>
          <w:szCs w:val="33"/>
        </w:rPr>
        <w:t>(三)所属危险货物运输车辆未按规定采取相关安全防护措</w:t>
      </w:r>
    </w:p>
    <w:p>
      <w:pPr>
        <w:spacing w:line="222" w:lineRule="auto"/>
        <w:ind w:left="16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"/>
          <w:sz w:val="33"/>
          <w:szCs w:val="33"/>
        </w:rPr>
        <w:t>施的；</w:t>
      </w:r>
    </w:p>
    <w:p>
      <w:pPr>
        <w:spacing w:before="237" w:line="359" w:lineRule="auto"/>
        <w:ind w:left="169" w:right="120" w:firstLine="66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7"/>
          <w:sz w:val="33"/>
          <w:szCs w:val="33"/>
        </w:rPr>
        <w:t>(四)所属运输剧毒化学品、爆炸品的专用车辆及罐式专用车</w:t>
      </w:r>
      <w:r>
        <w:rPr>
          <w:rFonts w:ascii="仿宋" w:hAnsi="仿宋" w:eastAsia="仿宋" w:cs="仿宋"/>
          <w:spacing w:val="11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8"/>
          <w:sz w:val="33"/>
          <w:szCs w:val="33"/>
        </w:rPr>
        <w:t>辆(含罐式挂车)在消除危险货物的危害前，到不具备危货车辆维</w:t>
      </w:r>
    </w:p>
    <w:p>
      <w:pPr>
        <w:spacing w:before="1" w:line="220" w:lineRule="auto"/>
        <w:ind w:left="16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5"/>
          <w:sz w:val="33"/>
          <w:szCs w:val="33"/>
        </w:rPr>
        <w:t>修条件的维修企业进行维修的。</w:t>
      </w:r>
    </w:p>
    <w:p>
      <w:pPr>
        <w:spacing w:before="273" w:line="655" w:lineRule="exact"/>
        <w:ind w:left="834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10"/>
          <w:position w:val="24"/>
          <w:sz w:val="33"/>
          <w:szCs w:val="33"/>
        </w:rPr>
        <w:t>第七条</w:t>
      </w:r>
      <w:r>
        <w:rPr>
          <w:rFonts w:ascii="仿宋" w:hAnsi="仿宋" w:eastAsia="仿宋" w:cs="仿宋"/>
          <w:spacing w:val="13"/>
          <w:position w:val="24"/>
          <w:sz w:val="33"/>
          <w:szCs w:val="33"/>
        </w:rPr>
        <w:t xml:space="preserve">  </w:t>
      </w:r>
      <w:r>
        <w:rPr>
          <w:rFonts w:ascii="仿宋" w:hAnsi="仿宋" w:eastAsia="仿宋" w:cs="仿宋"/>
          <w:spacing w:val="10"/>
          <w:position w:val="24"/>
          <w:sz w:val="33"/>
          <w:szCs w:val="33"/>
          <w:shd w:val="clear" w:fill="FFFF00"/>
        </w:rPr>
        <w:t>城市轨道交通运营单位</w:t>
      </w:r>
      <w:r>
        <w:rPr>
          <w:rFonts w:ascii="仿宋" w:hAnsi="仿宋" w:eastAsia="仿宋" w:cs="仿宋"/>
          <w:spacing w:val="10"/>
          <w:position w:val="24"/>
          <w:sz w:val="33"/>
          <w:szCs w:val="33"/>
        </w:rPr>
        <w:t>存在本标准第三条(一)(二)</w:t>
      </w:r>
    </w:p>
    <w:p>
      <w:pPr>
        <w:spacing w:line="222" w:lineRule="auto"/>
        <w:ind w:left="16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"/>
          <w:sz w:val="33"/>
          <w:szCs w:val="33"/>
        </w:rPr>
        <w:t>(四)(五)规定情形或下列情形之一的，应当判定为重大事故隐患：</w:t>
      </w:r>
    </w:p>
    <w:p>
      <w:pPr>
        <w:spacing w:before="219" w:line="219" w:lineRule="auto"/>
        <w:ind w:left="83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7"/>
          <w:sz w:val="33"/>
          <w:szCs w:val="33"/>
        </w:rPr>
        <w:t>(一)未按规定及时组织大客流疏散或列车重大故障清客的；</w:t>
      </w:r>
    </w:p>
    <w:p>
      <w:pPr>
        <w:spacing w:before="257" w:line="656" w:lineRule="exact"/>
        <w:ind w:left="83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3"/>
          <w:position w:val="24"/>
          <w:sz w:val="33"/>
          <w:szCs w:val="33"/>
        </w:rPr>
        <w:t>(二)未按规定及时整治桥隧、车站、轨道主体结构重大病害和</w:t>
      </w:r>
    </w:p>
    <w:p>
      <w:pPr>
        <w:spacing w:line="222" w:lineRule="auto"/>
        <w:ind w:left="16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5"/>
          <w:sz w:val="33"/>
          <w:szCs w:val="33"/>
        </w:rPr>
        <w:t>损伤的；</w:t>
      </w:r>
    </w:p>
    <w:p>
      <w:pPr>
        <w:spacing w:before="249" w:line="654" w:lineRule="exact"/>
        <w:ind w:left="83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1"/>
          <w:position w:val="24"/>
          <w:sz w:val="33"/>
          <w:szCs w:val="33"/>
        </w:rPr>
        <w:t>(三)未建立保护区管理制度或执行制度不到位发生险性事</w:t>
      </w:r>
    </w:p>
    <w:p>
      <w:pPr>
        <w:spacing w:line="222" w:lineRule="auto"/>
        <w:ind w:left="16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"/>
          <w:sz w:val="33"/>
          <w:szCs w:val="33"/>
        </w:rPr>
        <w:t>件的。</w:t>
      </w:r>
    </w:p>
    <w:p>
      <w:pPr>
        <w:spacing w:before="207" w:line="378" w:lineRule="auto"/>
        <w:ind w:left="834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9"/>
          <w:sz w:val="33"/>
          <w:szCs w:val="33"/>
        </w:rPr>
        <w:t>第八条</w:t>
      </w:r>
      <w:r>
        <w:rPr>
          <w:rFonts w:ascii="仿宋" w:hAnsi="仿宋" w:eastAsia="仿宋" w:cs="仿宋"/>
          <w:spacing w:val="164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9"/>
          <w:sz w:val="33"/>
          <w:szCs w:val="33"/>
          <w:u w:val="single" w:color="FF0000"/>
          <w:shd w:val="clear" w:fill="FFFF00"/>
        </w:rPr>
        <w:t>城市公共汽电车客运企业</w:t>
      </w:r>
      <w:r>
        <w:rPr>
          <w:rFonts w:ascii="仿宋" w:hAnsi="仿宋" w:eastAsia="仿宋" w:cs="仿宋"/>
          <w:spacing w:val="9"/>
          <w:sz w:val="33"/>
          <w:szCs w:val="33"/>
          <w:u w:val="single" w:color="FF0000"/>
        </w:rPr>
        <w:t>存在本标准第三条规定情</w:t>
      </w:r>
    </w:p>
    <w:p>
      <w:pPr>
        <w:tabs>
          <w:tab w:val="left" w:pos="168"/>
        </w:tabs>
        <w:spacing w:before="1" w:line="222" w:lineRule="auto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z w:val="33"/>
          <w:szCs w:val="33"/>
          <w:u w:val="single" w:color="FF0000"/>
        </w:rPr>
        <w:tab/>
      </w:r>
      <w:r>
        <w:rPr>
          <w:rFonts w:ascii="仿宋" w:hAnsi="仿宋" w:eastAsia="仿宋" w:cs="仿宋"/>
          <w:spacing w:val="1"/>
          <w:sz w:val="33"/>
          <w:szCs w:val="33"/>
          <w:u w:val="single" w:color="FF0000"/>
        </w:rPr>
        <w:t>形或下列情形之一的，应当判定为重大事故隐患</w:t>
      </w:r>
      <w:r>
        <w:rPr>
          <w:rFonts w:ascii="仿宋" w:hAnsi="仿宋" w:eastAsia="仿宋" w:cs="仿宋"/>
          <w:spacing w:val="1"/>
          <w:sz w:val="33"/>
          <w:szCs w:val="33"/>
        </w:rPr>
        <w:t>：</w:t>
      </w:r>
    </w:p>
    <w:p>
      <w:pPr>
        <w:spacing w:before="227" w:line="646" w:lineRule="exact"/>
        <w:ind w:left="83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9"/>
          <w:position w:val="23"/>
          <w:sz w:val="33"/>
          <w:szCs w:val="33"/>
        </w:rPr>
        <w:t>(一)未按规定在城市公共汽电车车辆驾驶区域安装安全防护</w:t>
      </w:r>
    </w:p>
    <w:p>
      <w:pPr>
        <w:spacing w:line="222" w:lineRule="auto"/>
        <w:ind w:left="16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"/>
          <w:sz w:val="33"/>
          <w:szCs w:val="33"/>
        </w:rPr>
        <w:t>隔离设施的；</w:t>
      </w:r>
    </w:p>
    <w:p>
      <w:pPr>
        <w:spacing w:before="237" w:line="646" w:lineRule="exact"/>
        <w:ind w:left="83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9"/>
          <w:position w:val="23"/>
          <w:sz w:val="33"/>
          <w:szCs w:val="33"/>
        </w:rPr>
        <w:t>(二)新能源城市公共汽电车动力电池超过质保期，未按规</w:t>
      </w:r>
      <w:r>
        <w:rPr>
          <w:rFonts w:ascii="仿宋" w:hAnsi="仿宋" w:eastAsia="仿宋" w:cs="仿宋"/>
          <w:spacing w:val="8"/>
          <w:position w:val="23"/>
          <w:sz w:val="33"/>
          <w:szCs w:val="33"/>
        </w:rPr>
        <w:t>定</w:t>
      </w:r>
    </w:p>
    <w:p>
      <w:pPr>
        <w:spacing w:line="222" w:lineRule="auto"/>
        <w:ind w:left="16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4"/>
          <w:sz w:val="33"/>
          <w:szCs w:val="33"/>
        </w:rPr>
        <w:t>及时更换仍继续使用的。</w:t>
      </w:r>
    </w:p>
    <w:p>
      <w:pPr>
        <w:spacing w:before="238" w:line="219" w:lineRule="auto"/>
        <w:ind w:left="834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13"/>
          <w:sz w:val="33"/>
          <w:szCs w:val="33"/>
        </w:rPr>
        <w:t>第九条</w:t>
      </w:r>
      <w:r>
        <w:rPr>
          <w:rFonts w:ascii="仿宋" w:hAnsi="仿宋" w:eastAsia="仿宋" w:cs="仿宋"/>
          <w:spacing w:val="105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3"/>
          <w:sz w:val="33"/>
          <w:szCs w:val="33"/>
          <w:u w:val="single" w:color="FF0000"/>
          <w:shd w:val="clear" w:fill="FFFF00"/>
        </w:rPr>
        <w:t>出租汽车客运企业存</w:t>
      </w:r>
      <w:r>
        <w:rPr>
          <w:rFonts w:ascii="仿宋" w:hAnsi="仿宋" w:eastAsia="仿宋" w:cs="仿宋"/>
          <w:spacing w:val="13"/>
          <w:sz w:val="33"/>
          <w:szCs w:val="33"/>
          <w:u w:val="single" w:color="FF0000"/>
        </w:rPr>
        <w:t>在本标准第三条规</w:t>
      </w:r>
      <w:r>
        <w:rPr>
          <w:rFonts w:ascii="仿宋" w:hAnsi="仿宋" w:eastAsia="仿宋" w:cs="仿宋"/>
          <w:spacing w:val="12"/>
          <w:sz w:val="33"/>
          <w:szCs w:val="33"/>
          <w:u w:val="single" w:color="FF0000"/>
        </w:rPr>
        <w:t>定情形或下</w:t>
      </w:r>
    </w:p>
    <w:p>
      <w:pPr>
        <w:sectPr>
          <w:footerReference r:id="rId9" w:type="default"/>
          <w:pgSz w:w="11910" w:h="16840"/>
          <w:pgMar w:top="1060" w:right="1305" w:bottom="1531" w:left="830" w:header="0" w:footer="1245" w:gutter="0"/>
          <w:cols w:space="720" w:num="1"/>
        </w:sectPr>
      </w:pPr>
    </w:p>
    <w:p>
      <w:pPr>
        <w:spacing w:before="66" w:line="222" w:lineRule="auto"/>
        <w:rPr>
          <w:rFonts w:ascii="仿宋" w:hAnsi="仿宋" w:eastAsia="仿宋" w:cs="仿宋"/>
          <w:sz w:val="32"/>
          <w:szCs w:val="32"/>
        </w:rPr>
      </w:pP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793115</wp:posOffset>
            </wp:positionH>
            <wp:positionV relativeFrom="page">
              <wp:posOffset>6279515</wp:posOffset>
            </wp:positionV>
            <wp:extent cx="3898900" cy="6350"/>
            <wp:effectExtent l="0" t="0" r="0" b="0"/>
            <wp:wrapNone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98951" cy="6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pacing w:val="6"/>
          <w:sz w:val="32"/>
          <w:szCs w:val="32"/>
          <w:u w:val="single" w:color="FF0000"/>
        </w:rPr>
        <w:t>列情形之一的，应当判定为重大事故隐患：</w:t>
      </w:r>
    </w:p>
    <w:p>
      <w:pPr>
        <w:spacing w:before="239" w:line="640" w:lineRule="exact"/>
        <w:ind w:left="6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7"/>
          <w:position w:val="24"/>
          <w:sz w:val="32"/>
          <w:szCs w:val="32"/>
        </w:rPr>
        <w:t>(一)网络预约出租汽车经营者(网约车平台公司)</w:t>
      </w:r>
      <w:r>
        <w:rPr>
          <w:rFonts w:ascii="仿宋" w:hAnsi="仿宋" w:eastAsia="仿宋" w:cs="仿宋"/>
          <w:spacing w:val="16"/>
          <w:position w:val="24"/>
          <w:sz w:val="32"/>
          <w:szCs w:val="32"/>
        </w:rPr>
        <w:t>线上提供服</w:t>
      </w:r>
    </w:p>
    <w:p>
      <w:pPr>
        <w:spacing w:line="219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务的车辆或驾驶员与线下实际提供服务的车辆</w:t>
      </w:r>
      <w:r>
        <w:rPr>
          <w:rFonts w:ascii="仿宋" w:hAnsi="仿宋" w:eastAsia="仿宋" w:cs="仿宋"/>
          <w:spacing w:val="11"/>
          <w:sz w:val="32"/>
          <w:szCs w:val="32"/>
        </w:rPr>
        <w:t>、驾驶员不一致的；</w:t>
      </w:r>
    </w:p>
    <w:p>
      <w:pPr>
        <w:spacing w:before="253" w:line="650" w:lineRule="exact"/>
        <w:ind w:left="6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4"/>
          <w:position w:val="25"/>
          <w:sz w:val="32"/>
          <w:szCs w:val="32"/>
        </w:rPr>
        <w:t>(二)网络预约出租汽车经营者(网约车平台公司)未在</w:t>
      </w:r>
      <w:r>
        <w:rPr>
          <w:rFonts w:ascii="仿宋" w:hAnsi="仿宋" w:eastAsia="仿宋" w:cs="仿宋"/>
          <w:spacing w:val="-47"/>
          <w:position w:val="25"/>
          <w:sz w:val="32"/>
          <w:szCs w:val="32"/>
        </w:rPr>
        <w:t xml:space="preserve"> </w:t>
      </w:r>
      <w:r>
        <w:rPr>
          <w:rFonts w:ascii="仿宋" w:hAnsi="仿宋" w:eastAsia="仿宋" w:cs="仿宋"/>
          <w:position w:val="25"/>
          <w:sz w:val="32"/>
          <w:szCs w:val="32"/>
        </w:rPr>
        <w:t>App</w:t>
      </w:r>
      <w:r>
        <w:rPr>
          <w:rFonts w:ascii="仿宋" w:hAnsi="仿宋" w:eastAsia="仿宋" w:cs="仿宋"/>
          <w:spacing w:val="42"/>
          <w:position w:val="2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4"/>
          <w:position w:val="25"/>
          <w:sz w:val="32"/>
          <w:szCs w:val="32"/>
        </w:rPr>
        <w:t>显</w:t>
      </w:r>
    </w:p>
    <w:p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2"/>
          <w:sz w:val="32"/>
          <w:szCs w:val="32"/>
        </w:rPr>
        <w:t>著位置设置“一键报警”,或虽设置“一键报警”但无法正常使用的。</w:t>
      </w:r>
    </w:p>
    <w:p>
      <w:pPr>
        <w:spacing w:before="261" w:line="384" w:lineRule="auto"/>
        <w:ind w:left="69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17"/>
          <w:sz w:val="32"/>
          <w:szCs w:val="32"/>
        </w:rPr>
        <w:t>第十条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17"/>
          <w:sz w:val="32"/>
          <w:szCs w:val="32"/>
          <w:u w:val="single" w:color="auto"/>
          <w:shd w:val="clear" w:fill="FFFF00"/>
        </w:rPr>
        <w:t>机动车驾驶员培训机构存</w:t>
      </w:r>
      <w:r>
        <w:rPr>
          <w:rFonts w:ascii="仿宋" w:hAnsi="仿宋" w:eastAsia="仿宋" w:cs="仿宋"/>
          <w:spacing w:val="-13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7"/>
          <w:sz w:val="32"/>
          <w:szCs w:val="32"/>
          <w:u w:val="single" w:color="auto"/>
        </w:rPr>
        <w:t xml:space="preserve"> </w:t>
      </w:r>
      <w:r>
        <w:rPr>
          <w:rFonts w:ascii="仿宋" w:hAnsi="仿宋" w:eastAsia="仿宋" w:cs="仿宋"/>
          <w:spacing w:val="17"/>
          <w:sz w:val="32"/>
          <w:szCs w:val="32"/>
          <w:u w:val="single" w:color="auto"/>
        </w:rPr>
        <w:t>在本标准第三条规定情形</w:t>
      </w:r>
    </w:p>
    <w:p>
      <w:pPr>
        <w:spacing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8"/>
          <w:sz w:val="32"/>
          <w:szCs w:val="32"/>
          <w:u w:val="single" w:color="FF0000"/>
        </w:rPr>
        <w:t>或下列情形之一的，应当判定为重大事故隐患：</w:t>
      </w:r>
    </w:p>
    <w:p>
      <w:pPr>
        <w:spacing w:before="240" w:line="645" w:lineRule="exact"/>
        <w:ind w:left="6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8"/>
          <w:position w:val="24"/>
          <w:sz w:val="32"/>
          <w:szCs w:val="32"/>
        </w:rPr>
        <w:t>(一)在道路上进行培训时未遵守公安机关交通管理部门指定</w:t>
      </w:r>
    </w:p>
    <w:p>
      <w:pPr>
        <w:spacing w:before="1"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的路线和时间的；</w:t>
      </w:r>
    </w:p>
    <w:p>
      <w:pPr>
        <w:spacing w:before="253" w:line="368" w:lineRule="auto"/>
        <w:ind w:right="116" w:firstLine="6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(二)所属教练员饮酒、醉酒后从事驾驶培训教学，或未按规定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9"/>
          <w:sz w:val="32"/>
          <w:szCs w:val="32"/>
        </w:rPr>
        <w:t>在基础和场地驾驶培训中随车或现场指导、在道路驾驶培训中随</w:t>
      </w:r>
    </w:p>
    <w:p>
      <w:pPr>
        <w:spacing w:before="1" w:line="219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车指导的。</w:t>
      </w:r>
    </w:p>
    <w:p>
      <w:pPr>
        <w:spacing w:before="280" w:line="372" w:lineRule="auto"/>
        <w:ind w:left="69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18"/>
          <w:sz w:val="32"/>
          <w:szCs w:val="32"/>
        </w:rPr>
        <w:t>第十一条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18"/>
          <w:sz w:val="32"/>
          <w:szCs w:val="32"/>
          <w:u w:val="single" w:color="FF0000"/>
          <w:shd w:val="clear" w:fill="FFFF00"/>
        </w:rPr>
        <w:t>机动车维修企业</w:t>
      </w:r>
      <w:r>
        <w:rPr>
          <w:rFonts w:ascii="仿宋" w:hAnsi="仿宋" w:eastAsia="仿宋" w:cs="仿宋"/>
          <w:spacing w:val="18"/>
          <w:sz w:val="32"/>
          <w:szCs w:val="32"/>
          <w:u w:val="single" w:color="FF0000"/>
        </w:rPr>
        <w:t>存在本标准第三条规定情形或下</w:t>
      </w:r>
    </w:p>
    <w:p>
      <w:pPr>
        <w:spacing w:before="1"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7"/>
          <w:sz w:val="32"/>
          <w:szCs w:val="32"/>
        </w:rPr>
        <w:t>列情形之一的，应当判定为重大事故隐患：</w:t>
      </w:r>
    </w:p>
    <w:p>
      <w:pPr>
        <w:spacing w:before="239" w:line="640" w:lineRule="exact"/>
        <w:ind w:left="6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8"/>
          <w:position w:val="24"/>
          <w:sz w:val="32"/>
          <w:szCs w:val="32"/>
        </w:rPr>
        <w:t>(一)不具备危险货物运输车辆维修经营业务条件仍违法承修</w:t>
      </w:r>
    </w:p>
    <w:p>
      <w:pPr>
        <w:spacing w:before="1" w:line="219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3"/>
          <w:sz w:val="32"/>
          <w:szCs w:val="32"/>
        </w:rPr>
        <w:t>危险货物运输车辆的；</w:t>
      </w:r>
    </w:p>
    <w:p>
      <w:pPr>
        <w:spacing w:before="261" w:line="220" w:lineRule="auto"/>
        <w:ind w:left="6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6"/>
          <w:sz w:val="32"/>
          <w:szCs w:val="32"/>
        </w:rPr>
        <w:t>(二)特种作业人员未按规定持证上岗的。</w:t>
      </w:r>
    </w:p>
    <w:p>
      <w:pPr>
        <w:spacing w:before="268" w:line="372" w:lineRule="auto"/>
        <w:ind w:left="69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18"/>
          <w:sz w:val="32"/>
          <w:szCs w:val="32"/>
        </w:rPr>
        <w:t>第十二条</w:t>
      </w:r>
      <w:r>
        <w:rPr>
          <w:rFonts w:ascii="仿宋" w:hAnsi="仿宋" w:eastAsia="仿宋" w:cs="仿宋"/>
          <w:spacing w:val="16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9"/>
          <w:sz w:val="32"/>
          <w:szCs w:val="32"/>
          <w:u w:val="single" w:color="auto"/>
        </w:rPr>
        <w:t xml:space="preserve"> </w:t>
      </w:r>
      <w:r>
        <w:rPr>
          <w:rFonts w:ascii="仿宋" w:hAnsi="仿宋" w:eastAsia="仿宋" w:cs="仿宋"/>
          <w:spacing w:val="18"/>
          <w:sz w:val="32"/>
          <w:szCs w:val="32"/>
          <w:u w:val="single" w:color="auto"/>
        </w:rPr>
        <w:t>开展</w:t>
      </w:r>
      <w:r>
        <w:rPr>
          <w:rFonts w:ascii="仿宋" w:hAnsi="仿宋" w:eastAsia="仿宋" w:cs="仿宋"/>
          <w:spacing w:val="18"/>
          <w:sz w:val="32"/>
          <w:szCs w:val="32"/>
          <w:u w:val="single" w:color="auto"/>
          <w:shd w:val="clear" w:fill="FFFF00"/>
        </w:rPr>
        <w:t>汽车客运站经营的企业存</w:t>
      </w:r>
      <w:r>
        <w:rPr>
          <w:rFonts w:ascii="仿宋" w:hAnsi="仿宋" w:eastAsia="仿宋" w:cs="仿宋"/>
          <w:spacing w:val="18"/>
          <w:sz w:val="32"/>
          <w:szCs w:val="32"/>
          <w:u w:val="single" w:color="auto"/>
        </w:rPr>
        <w:t>在本标准第三条规</w:t>
      </w:r>
    </w:p>
    <w:p>
      <w:pPr>
        <w:spacing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"/>
          <w:sz w:val="32"/>
          <w:szCs w:val="32"/>
          <w:u w:val="single" w:color="auto"/>
        </w:rPr>
        <w:t>定情形或下列情形之一的，应当判定为重大事故隐患：</w:t>
      </w:r>
      <w:r>
        <w:rPr>
          <w:rFonts w:ascii="仿宋" w:hAnsi="仿宋" w:eastAsia="仿宋" w:cs="仿宋"/>
          <w:spacing w:val="8"/>
          <w:sz w:val="32"/>
          <w:szCs w:val="32"/>
          <w:u w:val="single" w:color="auto"/>
        </w:rPr>
        <w:t xml:space="preserve">  </w:t>
      </w:r>
    </w:p>
    <w:p>
      <w:pPr>
        <w:spacing w:before="252" w:line="221" w:lineRule="auto"/>
        <w:ind w:left="6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(一)未按规定执行一类、二类客运班线实名制管理制度的；</w:t>
      </w:r>
    </w:p>
    <w:p>
      <w:pPr>
        <w:spacing w:before="265" w:line="219" w:lineRule="auto"/>
        <w:ind w:left="6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3"/>
          <w:sz w:val="32"/>
          <w:szCs w:val="32"/>
        </w:rPr>
        <w:t>(二)允许超载车辆出站的。</w:t>
      </w:r>
    </w:p>
    <w:p>
      <w:pPr>
        <w:spacing w:before="251" w:line="213" w:lineRule="auto"/>
        <w:ind w:left="69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17"/>
          <w:sz w:val="32"/>
          <w:szCs w:val="32"/>
        </w:rPr>
        <w:t>第十三条</w:t>
      </w:r>
      <w:r>
        <w:rPr>
          <w:rFonts w:ascii="黑体" w:hAnsi="黑体" w:eastAsia="黑体" w:cs="黑体"/>
          <w:spacing w:val="19"/>
          <w:sz w:val="32"/>
          <w:szCs w:val="32"/>
        </w:rPr>
        <w:t xml:space="preserve">  </w:t>
      </w:r>
      <w:r>
        <w:rPr>
          <w:rFonts w:ascii="黑体" w:hAnsi="黑体" w:eastAsia="黑体" w:cs="黑体"/>
          <w:spacing w:val="17"/>
          <w:sz w:val="32"/>
          <w:szCs w:val="32"/>
        </w:rPr>
        <w:t>依照本标准判定为重大事故隐患的，道路运输企</w:t>
      </w:r>
    </w:p>
    <w:p>
      <w:pPr>
        <w:sectPr>
          <w:footerReference r:id="rId10" w:type="default"/>
          <w:pgSz w:w="11910" w:h="16840"/>
          <w:pgMar w:top="1085" w:right="1079" w:bottom="1554" w:left="1210" w:header="0" w:footer="1237" w:gutter="0"/>
          <w:cols w:space="720" w:num="1"/>
        </w:sectPr>
      </w:pPr>
    </w:p>
    <w:p>
      <w:pPr>
        <w:spacing w:before="66" w:line="369" w:lineRule="auto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8"/>
          <w:sz w:val="32"/>
          <w:szCs w:val="32"/>
        </w:rPr>
        <w:t xml:space="preserve">业和城市客运企业应当按有关规定及时向属地交通运输主管部门 </w:t>
      </w:r>
      <w:r>
        <w:rPr>
          <w:rFonts w:ascii="仿宋" w:hAnsi="仿宋" w:eastAsia="仿宋" w:cs="仿宋"/>
          <w:spacing w:val="19"/>
          <w:sz w:val="32"/>
          <w:szCs w:val="32"/>
        </w:rPr>
        <w:t>和负有安全生产监督管理职责的管理部门报告，并依法依</w:t>
      </w:r>
      <w:r>
        <w:rPr>
          <w:rFonts w:ascii="仿宋" w:hAnsi="仿宋" w:eastAsia="仿宋" w:cs="仿宋"/>
          <w:spacing w:val="18"/>
          <w:sz w:val="32"/>
          <w:szCs w:val="32"/>
        </w:rPr>
        <w:t>规采取</w:t>
      </w:r>
    </w:p>
    <w:p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相应处置措施。</w:t>
      </w:r>
    </w:p>
    <w:p>
      <w:pPr>
        <w:spacing w:before="262" w:line="222" w:lineRule="auto"/>
        <w:ind w:left="69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35"/>
          <w:sz w:val="32"/>
          <w:szCs w:val="32"/>
        </w:rPr>
        <w:t>第十四条</w:t>
      </w:r>
      <w:r>
        <w:rPr>
          <w:rFonts w:ascii="黑体" w:hAnsi="黑体" w:eastAsia="黑体" w:cs="黑体"/>
          <w:spacing w:val="15"/>
          <w:sz w:val="32"/>
          <w:szCs w:val="32"/>
        </w:rPr>
        <w:t xml:space="preserve">  </w:t>
      </w:r>
      <w:r>
        <w:rPr>
          <w:rFonts w:ascii="黑体" w:hAnsi="黑体" w:eastAsia="黑体" w:cs="黑体"/>
          <w:spacing w:val="35"/>
          <w:sz w:val="32"/>
          <w:szCs w:val="32"/>
        </w:rPr>
        <w:t>本标准自2023年10月1日起施行。</w:t>
      </w:r>
    </w:p>
    <w:p>
      <w:pPr>
        <w:sectPr>
          <w:footerReference r:id="rId11" w:type="default"/>
          <w:pgSz w:w="11910" w:h="16840"/>
          <w:pgMar w:top="1103" w:right="1390" w:bottom="1461" w:left="1029" w:header="0" w:footer="1175" w:gutter="0"/>
          <w:cols w:space="720" w:num="1"/>
        </w:sectPr>
      </w:pPr>
    </w:p>
    <w:p>
      <w:r>
        <w:drawing>
          <wp:anchor distT="0" distB="0" distL="0" distR="0" simplePos="0" relativeHeight="251662336" behindDoc="0" locked="0" layoutInCell="0" allowOverlap="1">
            <wp:simplePos x="0" y="0"/>
            <wp:positionH relativeFrom="page">
              <wp:posOffset>4615815</wp:posOffset>
            </wp:positionH>
            <wp:positionV relativeFrom="page">
              <wp:posOffset>9480550</wp:posOffset>
            </wp:positionV>
            <wp:extent cx="1968500" cy="47625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68533" cy="4762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line="59" w:lineRule="exact"/>
      </w:pPr>
    </w:p>
    <w:tbl>
      <w:tblPr>
        <w:tblStyle w:val="4"/>
        <w:tblW w:w="9589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89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6" w:hRule="atLeast"/>
        </w:trPr>
        <w:tc>
          <w:tcPr>
            <w:tcW w:w="9589" w:type="dxa"/>
            <w:tcBorders>
              <w:top w:val="single" w:color="000000" w:sz="2" w:space="0"/>
              <w:bottom w:val="single" w:color="000000" w:sz="4" w:space="0"/>
            </w:tcBorders>
            <w:vAlign w:val="top"/>
          </w:tcPr>
          <w:p>
            <w:pPr>
              <w:spacing w:before="154" w:line="234" w:lineRule="auto"/>
              <w:ind w:left="1259" w:right="328" w:hanging="910"/>
              <w:rPr>
                <w:rFonts w:ascii="仿宋" w:hAnsi="仿宋" w:eastAsia="仿宋" w:cs="仿宋"/>
                <w:sz w:val="29"/>
                <w:szCs w:val="29"/>
              </w:rPr>
            </w:pPr>
            <w:r>
              <w:rPr>
                <w:rFonts w:ascii="仿宋" w:hAnsi="仿宋" w:eastAsia="仿宋" w:cs="仿宋"/>
                <w:spacing w:val="6"/>
                <w:sz w:val="29"/>
                <w:szCs w:val="29"/>
              </w:rPr>
              <w:t>抄送：国务院安全生产委员会办公室，部科学研究院、公路科学研究</w:t>
            </w:r>
            <w:r>
              <w:rPr>
                <w:rFonts w:ascii="仿宋" w:hAnsi="仿宋" w:eastAsia="仿宋" w:cs="仿宋"/>
                <w:spacing w:val="10"/>
                <w:sz w:val="29"/>
                <w:szCs w:val="29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9"/>
                <w:szCs w:val="29"/>
              </w:rPr>
              <w:t>院，部法制司、公路局、安全与质量监督管理</w:t>
            </w:r>
            <w:r>
              <w:rPr>
                <w:rFonts w:ascii="仿宋" w:hAnsi="仿宋" w:eastAsia="仿宋" w:cs="仿宋"/>
                <w:spacing w:val="-5"/>
                <w:sz w:val="29"/>
                <w:szCs w:val="29"/>
              </w:rPr>
              <w:t>司、科技司、应急</w:t>
            </w:r>
            <w:r>
              <w:rPr>
                <w:rFonts w:ascii="仿宋" w:hAnsi="仿宋" w:eastAsia="仿宋" w:cs="仿宋"/>
                <w:sz w:val="29"/>
                <w:szCs w:val="29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29"/>
                <w:szCs w:val="29"/>
              </w:rPr>
              <w:t>办，中央纪委国家监委驻交通运输部纪检监察</w:t>
            </w:r>
            <w:r>
              <w:rPr>
                <w:rFonts w:ascii="仿宋" w:hAnsi="仿宋" w:eastAsia="仿宋" w:cs="仿宋"/>
                <w:spacing w:val="2"/>
                <w:sz w:val="29"/>
                <w:szCs w:val="29"/>
              </w:rPr>
              <w:t>组。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9589" w:type="dxa"/>
            <w:tcBorders>
              <w:top w:val="single" w:color="000000" w:sz="4" w:space="0"/>
              <w:bottom w:val="single" w:color="000000" w:sz="2" w:space="0"/>
            </w:tcBorders>
            <w:vAlign w:val="top"/>
          </w:tcPr>
          <w:p>
            <w:pPr>
              <w:spacing w:before="138" w:line="227" w:lineRule="auto"/>
              <w:ind w:left="369"/>
              <w:rPr>
                <w:rFonts w:ascii="仿宋" w:hAnsi="仿宋" w:eastAsia="仿宋" w:cs="仿宋"/>
                <w:sz w:val="29"/>
                <w:szCs w:val="29"/>
              </w:rPr>
            </w:pPr>
            <w:r>
              <w:rPr>
                <w:rFonts w:ascii="仿宋" w:hAnsi="仿宋" w:eastAsia="仿宋" w:cs="仿宋"/>
                <w:spacing w:val="25"/>
                <w:sz w:val="29"/>
                <w:szCs w:val="29"/>
              </w:rPr>
              <w:t>交通运输部办公厅</w:t>
            </w:r>
            <w:r>
              <w:rPr>
                <w:rFonts w:ascii="仿宋" w:hAnsi="仿宋" w:eastAsia="仿宋" w:cs="仿宋"/>
                <w:spacing w:val="5"/>
                <w:sz w:val="29"/>
                <w:szCs w:val="29"/>
              </w:rPr>
              <w:t xml:space="preserve">                    </w:t>
            </w:r>
            <w:r>
              <w:rPr>
                <w:rFonts w:ascii="仿宋" w:hAnsi="仿宋" w:eastAsia="仿宋" w:cs="仿宋"/>
                <w:spacing w:val="4"/>
                <w:sz w:val="29"/>
                <w:szCs w:val="29"/>
              </w:rPr>
              <w:t xml:space="preserve">    </w:t>
            </w:r>
            <w:r>
              <w:rPr>
                <w:rFonts w:ascii="仿宋" w:hAnsi="仿宋" w:eastAsia="仿宋" w:cs="仿宋"/>
                <w:spacing w:val="25"/>
                <w:sz w:val="29"/>
                <w:szCs w:val="29"/>
              </w:rPr>
              <w:t>2023年9月14日印发</w:t>
            </w:r>
          </w:p>
        </w:tc>
      </w:tr>
    </w:tbl>
    <w:p>
      <w:pPr>
        <w:spacing w:line="439" w:lineRule="auto"/>
        <w:rPr>
          <w:rFonts w:ascii="Arial"/>
          <w:sz w:val="21"/>
        </w:rPr>
      </w:pPr>
    </w:p>
    <w:p>
      <w:pPr>
        <w:spacing w:before="95" w:line="183" w:lineRule="auto"/>
        <w:ind w:left="139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-8"/>
          <w:sz w:val="29"/>
          <w:szCs w:val="29"/>
        </w:rPr>
        <w:t>—</w:t>
      </w:r>
      <w:r>
        <w:rPr>
          <w:rFonts w:ascii="宋体" w:hAnsi="宋体" w:eastAsia="宋体" w:cs="宋体"/>
          <w:spacing w:val="105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-8"/>
          <w:sz w:val="29"/>
          <w:szCs w:val="29"/>
        </w:rPr>
        <w:t>8—</w:t>
      </w:r>
      <w:r>
        <w:rPr>
          <w:rFonts w:ascii="宋体" w:hAnsi="宋体" w:eastAsia="宋体" w:cs="宋体"/>
          <w:strike/>
          <w:sz w:val="29"/>
          <w:szCs w:val="29"/>
        </w:rPr>
        <w:t xml:space="preserve">  </w:t>
      </w:r>
      <w:bookmarkStart w:id="0" w:name="_GoBack"/>
      <w:bookmarkEnd w:id="0"/>
    </w:p>
    <w:sectPr>
      <w:footerReference r:id="rId12" w:type="default"/>
      <w:pgSz w:w="11910" w:h="16840"/>
      <w:pgMar w:top="1431" w:right="1130" w:bottom="400" w:left="119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8189"/>
      <w:rPr>
        <w:rFonts w:ascii="宋体" w:hAnsi="宋体" w:eastAsia="宋体" w:cs="宋体"/>
        <w:sz w:val="20"/>
        <w:szCs w:val="20"/>
      </w:rPr>
    </w:pPr>
    <w:r>
      <w:rPr>
        <w:rFonts w:ascii="宋体" w:hAnsi="宋体" w:eastAsia="宋体" w:cs="宋体"/>
        <w:spacing w:val="-4"/>
        <w:sz w:val="20"/>
        <w:szCs w:val="20"/>
      </w:rPr>
      <w:t>-</w:t>
    </w:r>
    <w:r>
      <w:rPr>
        <w:rFonts w:ascii="宋体" w:hAnsi="宋体" w:eastAsia="宋体" w:cs="宋体"/>
        <w:spacing w:val="1"/>
        <w:sz w:val="20"/>
        <w:szCs w:val="20"/>
      </w:rPr>
      <w:t xml:space="preserve">    </w:t>
    </w:r>
    <w:r>
      <w:rPr>
        <w:rFonts w:ascii="宋体" w:hAnsi="宋体" w:eastAsia="宋体" w:cs="宋体"/>
        <w:spacing w:val="-4"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2" w:lineRule="auto"/>
      <w:ind w:left="15"/>
      <w:rPr>
        <w:rFonts w:ascii="宋体" w:hAnsi="宋体" w:eastAsia="宋体" w:cs="宋体"/>
        <w:sz w:val="29"/>
        <w:szCs w:val="29"/>
      </w:rPr>
    </w:pPr>
    <w:r>
      <w:pict>
        <v:shape id="_x0000_s2049" o:spid="_x0000_s2049" o:spt="202" type="#_x0000_t202" style="position:absolute;left:0pt;margin-left:343pt;margin-top:183.5pt;height:54.4pt;width:135.15pt;mso-position-horizontal-relative:page;mso-position-vertical-relative:page;z-index:251659264;mso-width-relative:page;mso-height-relative:page;" filled="f" stroked="f" coordsize="21600,21600" o:allowincell="f">
          <v:path/>
          <v:fill on="f" focussize="0,0"/>
          <v:stroke on="f"/>
          <v:imagedata o:title=""/>
          <o:lock v:ext="edit" aspectratio="f"/>
          <v:textbox inset="0mm,0mm,0mm,0mm">
            <w:txbxContent>
              <w:p>
                <w:pPr>
                  <w:spacing w:before="20" w:line="222" w:lineRule="auto"/>
                  <w:ind w:left="30"/>
                  <w:rPr>
                    <w:rFonts w:ascii="仿宋" w:hAnsi="仿宋" w:eastAsia="仿宋" w:cs="仿宋"/>
                    <w:sz w:val="33"/>
                    <w:szCs w:val="33"/>
                  </w:rPr>
                </w:pPr>
                <w:r>
                  <w:rPr>
                    <w:rFonts w:ascii="仿宋" w:hAnsi="仿宋" w:eastAsia="仿宋" w:cs="仿宋"/>
                    <w:spacing w:val="1"/>
                    <w:sz w:val="33"/>
                    <w:szCs w:val="33"/>
                  </w:rPr>
                  <w:t>交通运输部办公厅</w:t>
                </w:r>
              </w:p>
              <w:p>
                <w:pPr>
                  <w:spacing w:before="253" w:line="222" w:lineRule="auto"/>
                  <w:ind w:left="20"/>
                  <w:rPr>
                    <w:rFonts w:ascii="仿宋" w:hAnsi="仿宋" w:eastAsia="仿宋" w:cs="仿宋"/>
                    <w:sz w:val="33"/>
                    <w:szCs w:val="33"/>
                  </w:rPr>
                </w:pPr>
                <w:r>
                  <w:rPr>
                    <w:rFonts w:ascii="仿宋" w:hAnsi="仿宋" w:eastAsia="仿宋" w:cs="仿宋"/>
                    <w:spacing w:val="43"/>
                    <w:sz w:val="33"/>
                    <w:szCs w:val="33"/>
                  </w:rPr>
                  <w:t>2023年9月13日</w:t>
                </w:r>
              </w:p>
            </w:txbxContent>
          </v:textbox>
        </v:shape>
      </w:pict>
    </w:r>
    <w:r>
      <w:rPr>
        <w:rFonts w:ascii="宋体" w:hAnsi="宋体" w:eastAsia="宋体" w:cs="宋体"/>
        <w:spacing w:val="-8"/>
        <w:sz w:val="29"/>
        <w:szCs w:val="29"/>
      </w:rPr>
      <w:t>—</w:t>
    </w:r>
    <w:r>
      <w:rPr>
        <w:rFonts w:ascii="宋体" w:hAnsi="宋体" w:eastAsia="宋体" w:cs="宋体"/>
        <w:spacing w:val="103"/>
        <w:sz w:val="29"/>
        <w:szCs w:val="29"/>
      </w:rPr>
      <w:t xml:space="preserve"> </w:t>
    </w:r>
    <w:r>
      <w:rPr>
        <w:rFonts w:ascii="宋体" w:hAnsi="宋体" w:eastAsia="宋体" w:cs="宋体"/>
        <w:spacing w:val="-8"/>
        <w:sz w:val="29"/>
        <w:szCs w:val="29"/>
      </w:rPr>
      <w:t>2</w:t>
    </w:r>
    <w:r>
      <w:rPr>
        <w:rFonts w:ascii="宋体" w:hAnsi="宋体" w:eastAsia="宋体" w:cs="宋体"/>
        <w:spacing w:val="85"/>
        <w:sz w:val="29"/>
        <w:szCs w:val="29"/>
      </w:rPr>
      <w:t xml:space="preserve"> </w:t>
    </w:r>
    <w:r>
      <w:rPr>
        <w:rFonts w:ascii="宋体" w:hAnsi="宋体" w:eastAsia="宋体" w:cs="宋体"/>
        <w:spacing w:val="-8"/>
        <w:sz w:val="29"/>
        <w:szCs w:val="29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8489"/>
      </w:tabs>
      <w:spacing w:line="183" w:lineRule="auto"/>
      <w:ind w:left="8179"/>
      <w:rPr>
        <w:rFonts w:ascii="宋体" w:hAnsi="宋体" w:eastAsia="宋体" w:cs="宋体"/>
        <w:sz w:val="23"/>
        <w:szCs w:val="23"/>
      </w:rPr>
    </w:pPr>
    <w:r>
      <w:rPr>
        <w:rFonts w:ascii="宋体" w:hAnsi="宋体" w:eastAsia="宋体" w:cs="宋体"/>
        <w:sz w:val="23"/>
        <w:szCs w:val="23"/>
        <w:u w:val="single" w:color="auto"/>
      </w:rPr>
      <w:tab/>
    </w:r>
    <w:r>
      <w:rPr>
        <w:rFonts w:ascii="宋体" w:hAnsi="宋体" w:eastAsia="宋体" w:cs="宋体"/>
        <w:spacing w:val="-7"/>
        <w:sz w:val="23"/>
        <w:szCs w:val="23"/>
      </w:rPr>
      <w:t>3-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2" w:lineRule="auto"/>
      <w:ind w:left="229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17"/>
        <w:w w:val="99"/>
        <w:sz w:val="29"/>
        <w:szCs w:val="29"/>
      </w:rPr>
      <w:t>—</w:t>
    </w:r>
    <w:r>
      <w:rPr>
        <w:rFonts w:ascii="宋体" w:hAnsi="宋体" w:eastAsia="宋体" w:cs="宋体"/>
        <w:spacing w:val="92"/>
        <w:sz w:val="29"/>
        <w:szCs w:val="29"/>
      </w:rPr>
      <w:t xml:space="preserve"> </w:t>
    </w:r>
    <w:r>
      <w:rPr>
        <w:rFonts w:ascii="宋体" w:hAnsi="宋体" w:eastAsia="宋体" w:cs="宋体"/>
        <w:spacing w:val="-17"/>
        <w:w w:val="99"/>
        <w:sz w:val="29"/>
        <w:szCs w:val="29"/>
      </w:rPr>
      <w:t>4</w:t>
    </w:r>
    <w:r>
      <w:rPr>
        <w:rFonts w:ascii="宋体" w:hAnsi="宋体" w:eastAsia="宋体" w:cs="宋体"/>
        <w:spacing w:val="70"/>
        <w:sz w:val="29"/>
        <w:szCs w:val="29"/>
      </w:rPr>
      <w:t xml:space="preserve"> </w:t>
    </w:r>
    <w:r>
      <w:rPr>
        <w:rFonts w:ascii="宋体" w:hAnsi="宋体" w:eastAsia="宋体" w:cs="宋体"/>
        <w:spacing w:val="-17"/>
        <w:w w:val="99"/>
        <w:sz w:val="29"/>
        <w:szCs w:val="29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1" w:lineRule="auto"/>
      <w:ind w:left="8329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9"/>
        <w:sz w:val="29"/>
        <w:szCs w:val="29"/>
      </w:rPr>
      <w:t>—</w:t>
    </w:r>
    <w:r>
      <w:rPr>
        <w:rFonts w:ascii="宋体" w:hAnsi="宋体" w:eastAsia="宋体" w:cs="宋体"/>
        <w:spacing w:val="93"/>
        <w:sz w:val="29"/>
        <w:szCs w:val="29"/>
      </w:rPr>
      <w:t xml:space="preserve"> </w:t>
    </w:r>
    <w:r>
      <w:rPr>
        <w:rFonts w:ascii="宋体" w:hAnsi="宋体" w:eastAsia="宋体" w:cs="宋体"/>
        <w:spacing w:val="-9"/>
        <w:sz w:val="29"/>
        <w:szCs w:val="29"/>
      </w:rPr>
      <w:t>5—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99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spacing w:val="-9"/>
        <w:sz w:val="32"/>
        <w:szCs w:val="32"/>
      </w:rPr>
      <w:t>—</w:t>
    </w:r>
    <w:r>
      <w:rPr>
        <w:rFonts w:ascii="宋体" w:hAnsi="宋体" w:eastAsia="宋体" w:cs="宋体"/>
        <w:spacing w:val="70"/>
        <w:sz w:val="32"/>
        <w:szCs w:val="32"/>
      </w:rPr>
      <w:t xml:space="preserve"> </w:t>
    </w:r>
    <w:r>
      <w:rPr>
        <w:rFonts w:ascii="宋体" w:hAnsi="宋体" w:eastAsia="宋体" w:cs="宋体"/>
        <w:spacing w:val="-9"/>
        <w:sz w:val="32"/>
        <w:szCs w:val="32"/>
      </w:rPr>
      <w:t>6</w:t>
    </w:r>
    <w:r>
      <w:rPr>
        <w:rFonts w:ascii="宋体" w:hAnsi="宋体" w:eastAsia="宋体" w:cs="宋体"/>
        <w:spacing w:val="66"/>
        <w:sz w:val="32"/>
        <w:szCs w:val="32"/>
      </w:rPr>
      <w:t xml:space="preserve"> </w:t>
    </w:r>
    <w:r>
      <w:rPr>
        <w:rFonts w:ascii="宋体" w:hAnsi="宋体" w:eastAsia="宋体" w:cs="宋体"/>
        <w:spacing w:val="-9"/>
        <w:sz w:val="32"/>
        <w:szCs w:val="32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1" w:lineRule="auto"/>
      <w:ind w:right="159"/>
      <w:jc w:val="right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10"/>
        <w:sz w:val="29"/>
        <w:szCs w:val="29"/>
      </w:rPr>
      <w:t>—</w:t>
    </w:r>
    <w:r>
      <w:rPr>
        <w:rFonts w:ascii="宋体" w:hAnsi="宋体" w:eastAsia="宋体" w:cs="宋体"/>
        <w:spacing w:val="145"/>
        <w:sz w:val="29"/>
        <w:szCs w:val="29"/>
      </w:rPr>
      <w:t xml:space="preserve"> </w:t>
    </w:r>
    <w:r>
      <w:rPr>
        <w:rFonts w:ascii="宋体" w:hAnsi="宋体" w:eastAsia="宋体" w:cs="宋体"/>
        <w:spacing w:val="-10"/>
        <w:sz w:val="29"/>
        <w:szCs w:val="29"/>
      </w:rPr>
      <w:t>7</w:t>
    </w:r>
    <w:r>
      <w:rPr>
        <w:rFonts w:ascii="宋体" w:hAnsi="宋体" w:eastAsia="宋体" w:cs="宋体"/>
        <w:spacing w:val="79"/>
        <w:sz w:val="29"/>
        <w:szCs w:val="29"/>
      </w:rPr>
      <w:t xml:space="preserve"> </w:t>
    </w:r>
    <w:r>
      <w:rPr>
        <w:rFonts w:ascii="宋体" w:hAnsi="宋体" w:eastAsia="宋体" w:cs="宋体"/>
        <w:spacing w:val="-10"/>
        <w:sz w:val="29"/>
        <w:szCs w:val="29"/>
      </w:rPr>
      <w:t>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ZiMmM5OTNiY2QwZDYwYzI1ZDU5YjA0YzVjNWRmYzcifQ=="/>
  </w:docVars>
  <w:rsids>
    <w:rsidRoot w:val="00000000"/>
    <w:rsid w:val="1F4B21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5.jpeg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2023-09-19T11:04:00Z</dcterms:created>
  <dc:creator>Kingsoft-PDF</dc:creator>
  <cp:lastModifiedBy>Fan</cp:lastModifiedBy>
  <dcterms:modified xsi:type="dcterms:W3CDTF">2023-09-19T03:05:04Z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2023-09-19T11:04:41Z</vt:filetime>
  </property>
  <property fmtid="{D5CDD505-2E9C-101B-9397-08002B2CF9AE}" pid="4" name="UsrData">
    <vt:lpwstr>65090fc5592b69002075cb82wl</vt:lpwstr>
  </property>
  <property fmtid="{D5CDD505-2E9C-101B-9397-08002B2CF9AE}" pid="5" name="KSOProductBuildVer">
    <vt:lpwstr>2052-12.1.0.15374</vt:lpwstr>
  </property>
  <property fmtid="{D5CDD505-2E9C-101B-9397-08002B2CF9AE}" pid="6" name="ICV">
    <vt:lpwstr>5C379B2428D846D68B48DA5EA7E64FC4_12</vt:lpwstr>
  </property>
</Properties>
</file>